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57542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TOKSIKOLOŠKA 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5754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57542E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II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57542E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57542E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40717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40717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57542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57542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57542E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57542E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57542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7542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7542E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7542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7542E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7542E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7542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7542E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7542E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7542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57542E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100,75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57542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57542E" w:rsidP="00257C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257CD1">
              <w:rPr>
                <w:rFonts w:asciiTheme="majorHAnsi" w:hAnsiTheme="majorHAnsi" w:cs="Arial"/>
                <w:b/>
                <w:sz w:val="18"/>
                <w:szCs w:val="18"/>
              </w:rPr>
              <w:t>Hemija- usmjerenje M</w:t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edicinska hemija</w:t>
            </w:r>
            <w:r w:rsidR="00257CD1">
              <w:rPr>
                <w:rFonts w:asciiTheme="majorHAnsi" w:hAnsiTheme="majorHAnsi" w:cs="Arial"/>
                <w:b/>
                <w:sz w:val="18"/>
                <w:szCs w:val="18"/>
              </w:rPr>
              <w:t xml:space="preserve"> i Hemija okoline i kontrole kvaliteta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57542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dr. sci. Maida Šljivić Husejnović, vanr. prof.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5754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studenata sa  teoretskim principima toksikologije,vrstama  najčešćih otrova i njihovih antidota kao i s osnovnim principima  toksikološke hemije pri dokazivanju otrova u  svim vrstama uzoraka. Osposobljavanje studenata za samostalan  stručni i naučni rad u laboratorijama koje se bave toksikološkom hemijom.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57542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je u stanju da stečena znanja i vještine primijeni  u proučavanju hemijske strukture i djelovanje različitih otrova u biološkim sistemima. Povezati opasnost,  rizik i sigurnost toksičnih supstanci  za ljudsko zdravlje i okoliš.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57542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Osnovni pojmovi u toksikologiji. Kriterijumi i faktori toksičnosti. Odnos doza-odgovor. Testovi toksičnosti. Putevi unošenja otrova u organizam, distribucija, metabolizam, eliminacija, kumulacija otrova, interakcije otrova. Organizacija i uloga toksikološko-hemijske laboratorije. Uzorci i uzorkovanje materijala za toksikološko-hemijsku analizu: vazduh, voda, zemljište, biološki materijal.  Metode izolovanja otrova iz toksikološkog materijala. Mineralni, gasoviti  i prirodni otrovi. Osnovi radiotoksikologije. Sredstva koja izazivaju zavisnost. Primjena zakonske regulative u zaštiti od otrova.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D3DBE" w:rsidRPr="00CD3DBE" w:rsidRDefault="0057542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- seminarski rad na osnovu prikupljene literature i usmeno izlaganje;</w:t>
            </w:r>
          </w:p>
          <w:p w:rsidR="00CB72ED" w:rsidRPr="00B96B4F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- konsultacije.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57542E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D3DBE" w:rsidRPr="00CD3DBE" w:rsidRDefault="0057542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Predispitne aktivnosti (min 55, max 100 bodova)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redovno pohađanje nastave i aktivnost na predavanjima - 0-10 bodova 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seminarski rad-  0-20 bodova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I parcijalni ispit - 20 - 35 bodova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II parcijalni /završni ispit - 20 - 35 bodova.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Aktivnost na nastavi: Student tokomi predavanja aktivno učestvuje u nastavi i pokazuje aktivnost u radu. Aktivnost studenta i redovnost pohađanja nastave se vrednuje bodovima 0-10.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Seminarski rad: Studenti pišu seminarski rad na osnovu prikupljene literature na zadatu temu i usmeno ga brane. Samostalni rad studenta se boduje sa maksimalno 20 bodova. 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Ispit: Studenti mogu polagati ispit iz dva dijela, usmeno i/ili pismeno. Prvi parcijalni ispit sadrži gradivo iz prvih 50% sadržaja nastavnog predmeta. Ispit se polaže u toku semestra, nakon odslušanih predviđenih nastavnih jedinica. Na prvom parcijalnom ispitu za položen dio ispita student treba ostvariti 20-35 bodova. Drugi parcijalni/završni ispit  sadrži gradivo iz preostalih 50% sadržaja nastavnog predmeta. Student polaže drugi parcijalni/završni ispit na kraju semestra, nakon što odsluša sva predavanja. Student za predviđene aktivnosti i provjere znanja tokom semestra treba da ukupno osvoji broj bodova koji zadovoljava kriterije za prolaznu ocjenu.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Ukoliko student u okviru predispitnih aktivnosti ne ostvari dovoljan broj bodova za upis ocjene, završni ispit i nepoloženi dijelovi ispita se polažu u redovnom i popravnom terminu ispitnih rokova.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bilo kojeg dijela ispita i isti raditi ponovo u popravnom terminu ili pristupiti usmenom ispitivanju.</w:t>
            </w:r>
          </w:p>
          <w:p w:rsidR="00CB72ED" w:rsidRPr="00B96B4F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Ukoliko student za vrijeme ispita bude prepisivao ili koristio različita tehnička pomagala biti će udaljen sa ispita, a njegov rad se neće bodovati.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57542E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D3DBE" w:rsidRPr="00CD3DBE" w:rsidRDefault="0057542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Uspješnost studenta prati se kontinuirano tokom nastave i izražava se u bodovima.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Konačan uspjeh studenta nakon svih predviđenih oblika provjere znanja, vrednuje se i ocjenjuje kako slijedi: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10 (A)-95-100 -izuzetan uspjeh bez grešaka ili sa neznatnim greškama,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9 (B)-85-94 -iznad prosjeka, sa ponekom greškom,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8 (C)-75-84 -sa primjetnim greškama,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7 (D)-65-74 -općenito dobar, sa značajnijim nedostacima,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6 (E)-55-64 -zadovoljava minimalne kriterije, </w:t>
            </w:r>
          </w:p>
          <w:p w:rsidR="00CB72ED" w:rsidRPr="00B96B4F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5 (F,FX)&lt;55 -ne zadovoljava minimalne kriterije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57542E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D3DBE" w:rsidRDefault="0057542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Autorizovana predavanja nastavnika</w:t>
            </w:r>
          </w:p>
          <w:p w:rsid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</w:t>
            </w: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Mokranjac M. Toksikološka hemija.Grafopan;2001</w:t>
            </w:r>
          </w:p>
          <w:p w:rsidR="00CB72ED" w:rsidRPr="00B96B4F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3. Jokanović M. Toksikologija. Elit Medika, Beograd; 2001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57542E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D3DBE" w:rsidRPr="00CD3DBE" w:rsidRDefault="0057542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1. Sofilić T, Makić H. Toksikologija, Sveučilište u Zagrebu;2019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  <w:p w:rsidR="00CB72ED" w:rsidRPr="00B96B4F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. Đorđević S. Odabrana poglavlja toksikološke hemije 2. Prado,Beograd;2016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57542E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5754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57542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14C59">
              <w:rPr>
                <w:rFonts w:asciiTheme="majorHAnsi" w:hAnsiTheme="majorHAnsi" w:cs="Arial"/>
                <w:b/>
                <w:sz w:val="18"/>
                <w:szCs w:val="18"/>
              </w:rPr>
              <w:t>2024/25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57542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57CD1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257CD1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257CD1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14C5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414C5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414C5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170" w:rsidRDefault="00407170">
      <w:pPr>
        <w:spacing w:line="240" w:lineRule="auto"/>
      </w:pPr>
      <w:r>
        <w:separator/>
      </w:r>
    </w:p>
  </w:endnote>
  <w:endnote w:type="continuationSeparator" w:id="0">
    <w:p w:rsidR="00407170" w:rsidRDefault="004071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57542E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14C59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57542E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57542E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14C59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57542E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57542E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57542E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14C59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57542E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170" w:rsidRDefault="00407170">
      <w:pPr>
        <w:spacing w:after="0"/>
      </w:pPr>
      <w:r>
        <w:separator/>
      </w:r>
    </w:p>
  </w:footnote>
  <w:footnote w:type="continuationSeparator" w:id="0">
    <w:p w:rsidR="00407170" w:rsidRDefault="004071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11F15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57CD1"/>
    <w:rsid w:val="0026034D"/>
    <w:rsid w:val="00263142"/>
    <w:rsid w:val="00275EF2"/>
    <w:rsid w:val="00276F0F"/>
    <w:rsid w:val="00291453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170"/>
    <w:rsid w:val="00407835"/>
    <w:rsid w:val="00410521"/>
    <w:rsid w:val="00414C59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7542E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C4E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C75B4"/>
    <w:rsid w:val="00CD2E60"/>
    <w:rsid w:val="00CD3DBE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291387-437F-4989-8198-3D4EF7C3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63C46-C348-43D5-911C-32C86DD46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5</cp:revision>
  <cp:lastPrinted>2024-03-19T08:24:00Z</cp:lastPrinted>
  <dcterms:created xsi:type="dcterms:W3CDTF">2025-11-18T09:27:00Z</dcterms:created>
  <dcterms:modified xsi:type="dcterms:W3CDTF">2025-11-21T09:03:00Z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